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8F1A45">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54B9492F">
      <w:pPr>
        <w:spacing w:line="540" w:lineRule="exact"/>
        <w:jc w:val="center"/>
        <w:rPr>
          <w:rFonts w:ascii="方正小标宋_GBK" w:hAnsi="华文中宋" w:eastAsia="方正小标宋_GBK" w:cs="宋体"/>
          <w:b/>
          <w:kern w:val="0"/>
          <w:sz w:val="48"/>
          <w:szCs w:val="48"/>
        </w:rPr>
      </w:pPr>
    </w:p>
    <w:p w14:paraId="25310B0F">
      <w:pPr>
        <w:spacing w:line="540" w:lineRule="exact"/>
        <w:jc w:val="center"/>
        <w:rPr>
          <w:rFonts w:ascii="方正小标宋_GBK" w:hAnsi="华文中宋" w:eastAsia="方正小标宋_GBK" w:cs="宋体"/>
          <w:b/>
          <w:kern w:val="0"/>
          <w:sz w:val="48"/>
          <w:szCs w:val="48"/>
        </w:rPr>
      </w:pPr>
    </w:p>
    <w:p w14:paraId="4BD04F7E">
      <w:pPr>
        <w:spacing w:line="540" w:lineRule="exact"/>
        <w:jc w:val="center"/>
        <w:rPr>
          <w:rFonts w:ascii="方正小标宋_GBK" w:hAnsi="华文中宋" w:eastAsia="方正小标宋_GBK" w:cs="宋体"/>
          <w:b/>
          <w:kern w:val="0"/>
          <w:sz w:val="48"/>
          <w:szCs w:val="48"/>
        </w:rPr>
      </w:pPr>
    </w:p>
    <w:p w14:paraId="695185E6">
      <w:pPr>
        <w:spacing w:line="540" w:lineRule="exact"/>
        <w:jc w:val="center"/>
        <w:rPr>
          <w:rFonts w:ascii="方正小标宋_GBK" w:hAnsi="华文中宋" w:eastAsia="方正小标宋_GBK" w:cs="宋体"/>
          <w:b/>
          <w:kern w:val="0"/>
          <w:sz w:val="48"/>
          <w:szCs w:val="48"/>
        </w:rPr>
      </w:pPr>
    </w:p>
    <w:p w14:paraId="6252A1B2">
      <w:pPr>
        <w:spacing w:line="540" w:lineRule="exact"/>
        <w:jc w:val="center"/>
        <w:rPr>
          <w:rFonts w:ascii="方正小标宋_GBK" w:hAnsi="华文中宋" w:eastAsia="方正小标宋_GBK" w:cs="宋体"/>
          <w:b/>
          <w:kern w:val="0"/>
          <w:sz w:val="48"/>
          <w:szCs w:val="48"/>
        </w:rPr>
      </w:pPr>
    </w:p>
    <w:p w14:paraId="3416AA23">
      <w:pPr>
        <w:spacing w:line="540" w:lineRule="exact"/>
        <w:jc w:val="center"/>
        <w:rPr>
          <w:rFonts w:ascii="方正小标宋_GBK" w:hAnsi="华文中宋" w:eastAsia="方正小标宋_GBK" w:cs="宋体"/>
          <w:b/>
          <w:kern w:val="0"/>
          <w:sz w:val="48"/>
          <w:szCs w:val="48"/>
        </w:rPr>
      </w:pPr>
    </w:p>
    <w:p w14:paraId="31972AF4">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7E1E54C3">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59A25AF9">
      <w:pPr>
        <w:spacing w:line="540" w:lineRule="exact"/>
        <w:jc w:val="center"/>
        <w:rPr>
          <w:rFonts w:ascii="华文中宋" w:hAnsi="华文中宋" w:eastAsia="华文中宋" w:cs="宋体"/>
          <w:b/>
          <w:kern w:val="0"/>
          <w:sz w:val="52"/>
          <w:szCs w:val="52"/>
        </w:rPr>
      </w:pPr>
    </w:p>
    <w:p w14:paraId="7C65FF93">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4BDB0A37">
      <w:pPr>
        <w:spacing w:line="700" w:lineRule="exact"/>
        <w:jc w:val="left"/>
        <w:rPr>
          <w:rFonts w:hint="eastAsia" w:hAnsi="宋体" w:eastAsia="仿宋_GB2312" w:cs="宋体"/>
          <w:kern w:val="0"/>
          <w:sz w:val="36"/>
          <w:szCs w:val="36"/>
        </w:rPr>
      </w:pPr>
    </w:p>
    <w:p w14:paraId="213BA565">
      <w:pPr>
        <w:spacing w:line="700" w:lineRule="exact"/>
        <w:jc w:val="left"/>
        <w:rPr>
          <w:rFonts w:hint="eastAsia" w:hAnsi="宋体" w:eastAsia="仿宋_GB2312" w:cs="宋体"/>
          <w:kern w:val="0"/>
          <w:sz w:val="36"/>
          <w:szCs w:val="36"/>
        </w:rPr>
      </w:pPr>
    </w:p>
    <w:p w14:paraId="2B93FF0C">
      <w:pPr>
        <w:spacing w:line="700" w:lineRule="exact"/>
        <w:jc w:val="left"/>
        <w:rPr>
          <w:rFonts w:hint="eastAsia" w:hAnsi="宋体" w:eastAsia="仿宋_GB2312" w:cs="宋体"/>
          <w:kern w:val="0"/>
          <w:sz w:val="36"/>
          <w:szCs w:val="36"/>
          <w:lang w:eastAsia="zh-CN"/>
        </w:rPr>
      </w:pPr>
    </w:p>
    <w:p w14:paraId="10617941">
      <w:pPr>
        <w:spacing w:line="700" w:lineRule="exact"/>
        <w:jc w:val="left"/>
        <w:rPr>
          <w:rFonts w:hint="eastAsia" w:hAnsi="宋体" w:eastAsia="仿宋_GB2312" w:cs="宋体"/>
          <w:kern w:val="0"/>
          <w:sz w:val="36"/>
          <w:szCs w:val="36"/>
          <w:lang w:eastAsia="zh-CN"/>
        </w:rPr>
      </w:pPr>
    </w:p>
    <w:p w14:paraId="1B3A36F5">
      <w:pPr>
        <w:spacing w:line="700" w:lineRule="exact"/>
        <w:jc w:val="left"/>
        <w:rPr>
          <w:rFonts w:hint="eastAsia" w:hAnsi="宋体" w:eastAsia="仿宋_GB2312" w:cs="宋体"/>
          <w:kern w:val="0"/>
          <w:sz w:val="36"/>
          <w:szCs w:val="36"/>
          <w:lang w:eastAsia="zh-CN"/>
        </w:rPr>
      </w:pPr>
    </w:p>
    <w:p w14:paraId="5C857F09">
      <w:pPr>
        <w:spacing w:line="700" w:lineRule="exact"/>
        <w:jc w:val="left"/>
        <w:rPr>
          <w:rFonts w:hint="eastAsia" w:hAnsi="宋体" w:eastAsia="仿宋_GB2312" w:cs="宋体"/>
          <w:kern w:val="0"/>
          <w:sz w:val="36"/>
          <w:szCs w:val="36"/>
          <w:lang w:eastAsia="zh-CN"/>
        </w:rPr>
      </w:pPr>
    </w:p>
    <w:p w14:paraId="23EE2C22">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克州政法委</w:t>
      </w:r>
    </w:p>
    <w:p w14:paraId="7FE8AF7E">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2022年05月06日</w:t>
      </w:r>
    </w:p>
    <w:p w14:paraId="27C93033">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14:paraId="6DE9D7C3">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14:paraId="7A6D181B">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在自治州党委统一领导下，深入贯彻习近平新时代中国特色社会主义思想，深入贯彻党的路线方针政策和决策部署，统一政法各部门思想和行动，坚持党对政法工作的绝对领导，</w:t>
      </w:r>
      <w:r>
        <w:rPr>
          <w:rFonts w:hint="eastAsia" w:ascii="仿宋_GB2312" w:hAnsi="宋体" w:eastAsia="仿宋_GB2312"/>
          <w:b w:val="0"/>
          <w:bCs/>
          <w:sz w:val="32"/>
          <w:szCs w:val="32"/>
          <w:lang w:eastAsia="zh-CN"/>
        </w:rPr>
        <w:t>坚决维护党中央权威和集中统一领导</w:t>
      </w:r>
      <w:r>
        <w:rPr>
          <w:rFonts w:hint="eastAsia" w:ascii="仿宋_GB2312" w:hAnsi="宋体" w:eastAsia="仿宋_GB2312"/>
          <w:b w:val="0"/>
          <w:bCs/>
          <w:sz w:val="32"/>
          <w:szCs w:val="32"/>
        </w:rPr>
        <w:t>；深入贯彻党中央决定和自治区、自治州党委工作要求，对政法工作研究提出全面性部署；推进平安克州、法治克州建设，加强过硬队伍建设，深化智能化建设，坚决维护国家政治安全、确保社会大局稳定、促进社会公平正义、保障人民安居乐业；分析社会稳定形势，创新完善多部门参与的综治维稳工作机制，协调推动预防、化解影响稳定的社会矛盾和风险，协调应对和处置重大突发事件；统筹协调社会治安综合治理（平安创建）、市域社会治理现代化、反邪教、边境管控等维护社会稳定的有关法律法规政策实施工作；研究拟订政法工作方针政策和重大措施，及时向自治州党委提出建议；指导协调政法部门媒体网络宣传工作；监督和支持政法各部门依法行使职权，指导和协调政法各部门密切配合，推进严格执法、公正司法；组织研究政法改革；指导推动政法系统党的建设和政法队伍建设。</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党委政法委无下属预算单位，下设六个行政科室，分别是：办公室、政治部、维稳指导科、综治督导科、基层社会治理科、执法监督科，管理七个下属事业单位，分别是：克州边防事务协调保障中心，克州法学会（代管）、政法信息中心等。</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克州党委政法委编制数123，实有人数111人，其中：在职103人，增加14人；退休7人，增加0人；离休1人，增加0人。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在自治区党委和州委领导下，深入贯彻习近平新时代中国特色社会主义思想，深入贯彻党的路线方针政策和决策部署；深入贯彻党中央决定和自治区、自治州党委工作要求，对政法工作研究提出全面性部署；推进平安克州、法治克州建设，加强过硬队伍建设，坚决维护国家政治安全、确保社会大局稳定、促进社会公平正义、保障人民安居乐业；分析社会稳定形势，创新完善多部门参与的综治维稳工作机制，协调推动预防、化解影响稳定的社会矛盾和风险，协调应对和处置重大突发事件；研究拟订政法工作方针政策和重大措施，及时向自治州党委提出建议；指导协调政法部门媒体网络宣传工作；持续推进政法建设、党风廉政建设，干部队伍综合素质进一步提升，机关各项事业迈上新台阶。统筹协调平安建设、市域社会治理现代化、反邪教、边境管控等维护社会稳定的有关工作落实，做好矛盾纠纷排查化解和涉法涉诉案件查处，积极化解影响稳定的社会矛盾和风险，确保全年全州平安稳定。积极申报创建2021年度自治区“平安县”1个，自治区“优秀平安乡镇”5个，扎实推动平安创建活动。推动扫黑除恶常治长效。完成政法队伍教育整顿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中共克孜勒苏柯尔克孜自治州委员会政法委员会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中共克孜勒苏柯尔克孜自治州委员会政法委员会集体决策制度》和《中共克孜勒苏柯尔克孜自治州委员会政法委员会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中共克孜勒苏柯尔克孜自治州委员会政法委员会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中共克孜勒苏柯尔克孜自治州委员会政法委员会合同管理办法》相关规定，中共克孜勒苏柯尔克孜自治州委员会政法委员会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1,618.39万元，项目支出安排资金493.60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493.60万元，其中涉密项目支出475.49万元，非涉密项目支出32万元，涉及项目数量6个，其中：重点项目支出16.20万元，涉及重点项目数量1个，重点项目支出与部门项目总支出（除去涉密项目475.49万元）的比率为56.59%。</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2021年度本单位年初批复部门预算资金总额为1667.84万元，年中调增预算总额为444.15万元，调整后全年预算资金总额为2,111.99万元。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2021年度本单位部门整体支出资金总额为2,111.99万元，预算执行率为100%，预算调整率为</w:t>
      </w:r>
      <w:r>
        <w:rPr>
          <w:rFonts w:hint="eastAsia" w:ascii="仿宋_GB2312" w:hAnsi="宋体" w:eastAsia="仿宋_GB2312"/>
          <w:b w:val="0"/>
          <w:bCs/>
          <w:sz w:val="32"/>
          <w:szCs w:val="32"/>
          <w:lang w:val="en-US" w:eastAsia="zh-CN"/>
        </w:rPr>
        <w:t>26.63</w:t>
      </w:r>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年初政府采购预算数为168.84万元，实际政府采购数为232.33万元万元，政府采购执行率为137.60%。</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14:paraId="1271DD92">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14:paraId="33F6D4B9">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中共克孜勒苏柯尔克孜自治州委员会政法委员会内部控制规范》《中共克孜勒苏柯尔克孜自治州委员会政法委员会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2021年度我单位基本支出预算总额为1,618.39万元，其中人员经费1,503.59万元，公用经费114.80万元。实际执行总额为1,618.39万元，预算执行率100%。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42.39万元，比上年减少12.26万元，减少40.66%，主要原因是：按照厉行节约的要求，2021年缩减公务车运行维护费，因此支出随之减少。其中，因公出国（境）费支出0万元；公务用车购置及运行维护费支出35.53万元；公务接待费支出6.86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与年初预算数相比情况：一般公共预算“三公”经费支出年初预算数47万元，预算执行数为42.40万元，执行率为90.21%，主要原因是：按照厉行节约的要求，2021年缩减公务车运行维护费，因此支出随之减少。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2021年度本单位项目支出预算总额为507.49万元，实际执行资金总额为493.60万元，预算执行率为97.26%。</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2021年度预算安排专项资金273.82万元，实际支出资金273.02万元，预算执行率为99.71%，涉及项目个数2个。专项经费按照政策要求实行专款专用，不存在截留、挤占、挪用、虚列支出。各项目详细执行情况如下：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第一书记工作经费、为民办实事工作经费项目:全年预算数为17万元，预算执行数为16.20万元，预算执行率为95.29%。</w:t>
      </w:r>
      <w:r>
        <w:rPr>
          <w:rFonts w:hint="eastAsia" w:ascii="仿宋_GB2312" w:hAnsi="宋体" w:eastAsia="仿宋_GB2312"/>
          <w:b w:val="0"/>
          <w:bCs/>
          <w:sz w:val="32"/>
          <w:szCs w:val="32"/>
        </w:rPr>
        <w:cr/>
      </w:r>
      <w:r>
        <w:rPr>
          <w:rFonts w:hint="eastAsia" w:ascii="仿宋_GB2312" w:hAnsi="宋体" w:eastAsia="仿宋_GB2312"/>
          <w:b w:val="0"/>
          <w:bCs/>
          <w:sz w:val="32"/>
          <w:szCs w:val="32"/>
        </w:rPr>
        <w:t>　　涉密项目2：全年预算数为256.82万元，预算执行数为256.82万元，预算执行率为100%。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2021年度预算安排本级财力资金233.67万元，实际支出资金220.58万元，预算执行率为94.40%，涉及项目个数4个，各项目详细执行情况如下：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联建工作经费项目:全年预算数为7万元，预算执行数为1.91万元，预算执行率为27.29%。</w:t>
      </w:r>
      <w:r>
        <w:rPr>
          <w:rFonts w:hint="eastAsia" w:ascii="仿宋_GB2312" w:hAnsi="宋体" w:eastAsia="仿宋_GB2312"/>
          <w:b w:val="0"/>
          <w:bCs/>
          <w:sz w:val="32"/>
          <w:szCs w:val="32"/>
        </w:rPr>
        <w:cr/>
      </w:r>
      <w:r>
        <w:rPr>
          <w:rFonts w:hint="eastAsia" w:ascii="仿宋_GB2312" w:hAnsi="宋体" w:eastAsia="仿宋_GB2312"/>
          <w:b w:val="0"/>
          <w:bCs/>
          <w:sz w:val="32"/>
          <w:szCs w:val="32"/>
        </w:rPr>
        <w:t>　　法学课题研究项目:全年预算数为5万元，预算执行数为0万元，预算执行率为0%。</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《克州法学》刊物经费项目:全年预算数为3万元，预算执行数为0万元，预算执行率为0%。</w:t>
      </w:r>
      <w:r>
        <w:rPr>
          <w:rFonts w:hint="eastAsia" w:ascii="仿宋_GB2312" w:hAnsi="宋体" w:eastAsia="仿宋_GB2312"/>
          <w:b w:val="0"/>
          <w:bCs/>
          <w:sz w:val="32"/>
          <w:szCs w:val="32"/>
        </w:rPr>
        <w:cr/>
      </w:r>
      <w:r>
        <w:rPr>
          <w:rFonts w:hint="eastAsia" w:ascii="仿宋_GB2312" w:hAnsi="宋体" w:eastAsia="仿宋_GB2312"/>
          <w:b w:val="0"/>
          <w:bCs/>
          <w:sz w:val="32"/>
          <w:szCs w:val="32"/>
        </w:rPr>
        <w:t>　　涉密项目1:全年预算数为218.67万元，预算执行数为218.67万元，预算执行率为100%。</w:t>
      </w:r>
    </w:p>
    <w:p w14:paraId="7E23175F">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14:paraId="773E0CF7">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95.29%。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工作经费、为民办实事工作经费项目:依据《自治区“访民情惠民生聚民心”驻村工作为民办实事工作经费使用管理办法（试行）的通知》（新民办发〔2016〕62号）、《关于拨付2021年自治区“访惠聚”驻村工作经费的通知》新财预（2021）19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2项专项，总投入共计273.82万元，资金全部到位，实际使用资金273.02万元，专项资金执行率为99.71%。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①制订《中共克孜勒苏柯尔克孜自治州委员会政法委员会经费使用规范》,为合理合规使用经费提供了有力的制度保障。同时,建立区委组织部项目经费内部管控制度，并严格按要求落实。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成本节约：我单位2个项目成本均未超预算，预算执行率达99.71%。</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工作经费、为民办实事工作经费项目：用于第一书记开展各项工作，有利于驻村点为民办实事，营造安定和谐稳定的社会局面，着力解决农民反映的热点、难点问题，确保第一书记的各项工作顺利开展，完成相关任务，开展各项文体活动、职业技能培训、节日慰问、帮助困难群众等，营造安定和谐稳定的社会局面，确保工作队各项工作工作顺利开展，完成相关任务。</w:t>
      </w:r>
    </w:p>
    <w:p w14:paraId="398B1477">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14:paraId="77ED0AC3">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本单位2021年初资产合计数为283.79万元，年末资产合计数为2565.50万元。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截止本年度固定资产账面净值2519.51万元，年末实际在用固定资产2519.51万元，固定资产利用率为100%。</w:t>
      </w:r>
    </w:p>
    <w:p w14:paraId="5775F46D">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14:paraId="10CD1B6C">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部门单位整体支出共设置一级指标3个，二级指标7个，三级指标17个，其中已完成三级指标16个，指标完成率为94.12%。</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“保障退休和在职人数”指标：预期指标值为=111人，实际完成指标值为111人，指标完成率为100%。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“保障车辆”指标：预期指标值为=5辆，实际完成指标值为5辆，指标完成率为100%。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“制定政法工作方案（份）”指标：预期指标值为=6份，实际完成指标值为6份，指标完成率为100%。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“开展联谊、文体活动（次）”指标：预期指标值为≥3次，实际完成指标值为3次，指标完成率为100%。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“开展政治培训（次）”指标：预期指标值为≥1次，实际完成指标值为1次，指标完成率为100%。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“执法监督检查次数（次）”指标：预期指标值为≥3次，实际完成指标值为3次，指标完成率为100%。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“考核合格率（%）”指标：预期指标值为=100%，实际完成指标值为100%，指标完成率为100%。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“资金使用合规率（%）”指标：预期指标值为=100%，实际完成指标值为100%，指标完成率为100%。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“资金支付及时率（%）”指标：预期指标值为=100%，实际完成指标值为100%，指标完成率为100%。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“预算拨付及时率（%）”指标：预期指标值为=100%，实际完成指标值为100%，指标完成率为100%。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“人员经费(万元)”指标：预期指标值为=1219.72万元，实际完成指标值为1219.72，指标完成率为100%。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“公用经费(万元)”指标：预期指标值为=168.84万元，实际完成指标值为168.84万元，指标完成率为100%。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“项目支出(万元)”指标：预期指标值为=262.28万元，实际完成指标值为228.17万元，指标完成率为86.99%。</w:t>
      </w:r>
      <w:r>
        <w:rPr>
          <w:rFonts w:hint="eastAsia" w:ascii="仿宋_GB2312" w:hAnsi="宋体" w:eastAsia="仿宋_GB2312"/>
          <w:b w:val="0"/>
          <w:bCs/>
          <w:sz w:val="32"/>
          <w:szCs w:val="32"/>
        </w:rPr>
        <w:cr/>
      </w:r>
      <w:r>
        <w:rPr>
          <w:rFonts w:hint="eastAsia" w:ascii="仿宋_GB2312" w:hAnsi="宋体" w:eastAsia="仿宋_GB2312"/>
          <w:b w:val="0"/>
          <w:bCs/>
          <w:sz w:val="32"/>
          <w:szCs w:val="32"/>
        </w:rPr>
        <w:t>　　偏差原因：1、法学课题研究：因2021年开展政法队伍教育整顿工作，法学课题研究工作开展滞后。2、《克州法学》刊物经费：因疫情原因，相关法学会活动未正常开展，经费未使用。3、专项工作经费：成本压缩造成结余。4、第一书记和为民办实事：工作经费成本压缩造成结余。</w:t>
      </w:r>
      <w:r>
        <w:rPr>
          <w:rFonts w:hint="eastAsia" w:ascii="仿宋_GB2312" w:hAnsi="宋体" w:eastAsia="仿宋_GB2312"/>
          <w:b w:val="0"/>
          <w:bCs/>
          <w:sz w:val="32"/>
          <w:szCs w:val="32"/>
        </w:rPr>
        <w:cr/>
      </w:r>
      <w:r>
        <w:rPr>
          <w:rFonts w:hint="eastAsia" w:ascii="仿宋_GB2312" w:hAnsi="宋体" w:eastAsia="仿宋_GB2312"/>
          <w:b w:val="0"/>
          <w:bCs/>
          <w:sz w:val="32"/>
          <w:szCs w:val="32"/>
        </w:rPr>
        <w:t>　　改进措施：1、法学课题研究：做好年初预算，强化预算管理和预算执行。压实预算执行主体责任，建立内部分工明确、责任清晰的管理制度，确保预算执行责任落实到岗、明确到人、具体到事。2、《克州法学》刊物经费：做好年初预算，强化预算管理和预算执行。坚持早谋划、早安排、早部署，扎实做好项目前期工作。提高预算执行时效性和均衡性。3、专项工作经费：继续严格落实过紧日子要求，把坚持厉行节约作为一种政治自觉和政治担当。4、第一书记和为民办实事工作经费：继续严格落实过紧日子要求，把坚持厉行节约作为一种政治自觉和政治担当。</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“业务保障能力提升情况”指标：预期指标值为明显提升，实际完成指标值为明显提升，指标完成率为100%。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无生态效益指标。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“充分发挥机关党组织的先锋模范作用”指标：预期指标值为持续发挥，实际完成指标值为持续发挥，指标完成率为100%。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“受益工作人员满意度（%）”指标：预期指标值为≥95%，实际完成指标值为95%，指标完成率为100%。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“受益群众满意度（%）”指标：预期指标值为≥95%，实际完成指标值为95%，指标完成率为100%。</w:t>
      </w:r>
    </w:p>
    <w:p w14:paraId="2BDB0C07">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14:paraId="736E5079">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14:paraId="234ED014">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14:paraId="65D974C7">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4B86128"/>
    <w:rsid w:val="27DE7DEE"/>
    <w:rsid w:val="36A109F3"/>
    <w:rsid w:val="4423196C"/>
    <w:rsid w:val="51364501"/>
    <w:rsid w:val="51C70EA9"/>
    <w:rsid w:val="54F842B6"/>
    <w:rsid w:val="656071F2"/>
    <w:rsid w:val="689B7CC9"/>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10415</Words>
  <Characters>10975</Characters>
  <Lines>2</Lines>
  <Paragraphs>1</Paragraphs>
  <TotalTime>27</TotalTime>
  <ScaleCrop>false</ScaleCrop>
  <LinksUpToDate>false</LinksUpToDate>
  <CharactersWithSpaces>11273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盛夏之末√</cp:lastModifiedBy>
  <dcterms:modified xsi:type="dcterms:W3CDTF">2025-07-31T03:16:53Z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4E2A216151A24EE5A190066F518526B7</vt:lpwstr>
  </property>
  <property fmtid="{D5CDD505-2E9C-101B-9397-08002B2CF9AE}" pid="4" name="KSOTemplateDocerSaveRecord">
    <vt:lpwstr>eyJoZGlkIjoiZjFmZWIzNDg2MmIzZjExOTIzMmViNTBmYTMwYTk0ZWYiLCJ1c2VySWQiOiI0MzIyODY2NzMifQ==</vt:lpwstr>
  </property>
</Properties>
</file>